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numPr>
          <w:ilvl w:val="0"/>
          <w:numId w:val="1"/>
        </w:numPr>
        <w:spacing w:line="240" w:lineRule="auto"/>
        <w:ind w:left="720" w:hanging="450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II.</w:t>
        <w:tab/>
        <w:t xml:space="preserve">Secretary’s Report/Approve Minutes — Pam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3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Please sign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144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III.  </w:t>
        <w:tab/>
        <w:t xml:space="preserve">Treasurer’s Report — Tanika   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IV.</w:t>
        <w:tab/>
        <w:t xml:space="preserve">Band Directors’ Report—Grant Tabor, Angela Deligiannis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1440" w:firstLine="0"/>
        <w:rPr>
          <w:rFonts w:ascii="Tahoma" w:cs="Tahoma" w:eastAsia="Tahoma" w:hAnsi="Tahoma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216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V.</w:t>
        <w:tab/>
        <w:t xml:space="preserve">Orchestra Director’s Report—Dan Valdez, Melissa Guilfoyle</w:t>
      </w:r>
    </w:p>
    <w:p w:rsidR="00000000" w:rsidDel="00000000" w:rsidP="00000000" w:rsidRDefault="00000000" w:rsidRPr="00000000" w14:paraId="0000000D">
      <w:pPr>
        <w:spacing w:line="240" w:lineRule="auto"/>
        <w:ind w:left="1440" w:firstLine="0"/>
        <w:rPr>
          <w:rFonts w:ascii="Tahoma" w:cs="Tahoma" w:eastAsia="Tahoma" w:hAnsi="Tahoma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144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VI.</w:t>
        <w:tab/>
        <w:t xml:space="preserve"> Choir Director’s Report- Allison Cherry, Anna Duran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144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144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VII.</w:t>
        <w:tab/>
        <w:t xml:space="preserve">President’s Report - Lara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Returning and open positions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Parent Square group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spacing w:line="240" w:lineRule="auto"/>
        <w:ind w:left="1440" w:hanging="360"/>
        <w:rPr>
          <w:rFonts w:ascii="Tahoma" w:cs="Tahoma" w:eastAsia="Tahoma" w:hAnsi="Tahoma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MPA website edits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ab/>
        <w:t xml:space="preserve">  </w:t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left="0" w:firstLine="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VIII.</w:t>
        <w:tab/>
        <w:t xml:space="preserve">Vice President of Fundraising – Janelle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IX.</w:t>
        <w:tab/>
        <w:t xml:space="preserve">  Open Floor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X.</w:t>
        <w:tab/>
        <w:t xml:space="preserve">  Adjournment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Directors: Grant Tabor, Angela Deligiannis, Dan Valdez, Melissa Guilfoyle, Allison Cherry, Anna Duran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Board and Committee Chairs: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President: Lara Gamache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Treasurer: Tanika Skipper/Open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Secretary: Pam Litster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VP Fundraising: Janelle Riopell 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Orchestra Chair: Candice Barrett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Band Chair: Open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08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line="240" w:lineRule="auto"/>
      <w:jc w:val="center"/>
      <w:rPr/>
    </w:pPr>
    <w:r w:rsidDel="00000000" w:rsidR="00000000" w:rsidRPr="00000000">
      <w:rPr>
        <w:rFonts w:ascii="Tahoma" w:cs="Tahoma" w:eastAsia="Tahoma" w:hAnsi="Tahoma"/>
        <w:b w:val="1"/>
        <w:sz w:val="28"/>
        <w:szCs w:val="28"/>
        <w:rtl w:val="0"/>
      </w:rPr>
      <w:t xml:space="preserve">MPA MEETING AGENDA - Monday, May 9, 2022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52cmE6uzsIioUBbD7tviIHS3Ow==">AMUW2mUxGEEZtzpvXoxEYzfftA569mPGd1rIdgIenwHiP3cPE+ipqW4o8/wTMU5/mz6IyuOpXP9hkeFvHwCdrIDsuzx292GiLCSOLPYppHQSWVN8viJHJHA=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